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Pr="000F0395">
        <w:rPr>
          <w:rFonts w:eastAsia="Calibri"/>
          <w:b/>
          <w:sz w:val="32"/>
          <w:szCs w:val="22"/>
          <w:u w:val="single"/>
          <w:lang w:eastAsia="en-US"/>
        </w:rPr>
        <w:t>„</w:t>
      </w:r>
      <w:r w:rsidR="001D67FF" w:rsidRPr="003E2177">
        <w:rPr>
          <w:rFonts w:ascii="Arial" w:hAnsi="Arial" w:cs="Arial"/>
          <w:b/>
          <w:sz w:val="28"/>
          <w:u w:val="single"/>
        </w:rPr>
        <w:t>Budowa basenu przy PSP w Ciepielowie</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 xml:space="preserve">Oferujemy wykonanie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Pr="00A24AB0" w:rsidRDefault="000F0395" w:rsidP="000F0395">
      <w:pPr>
        <w:pStyle w:val="Tekstpodstawowy"/>
        <w:spacing w:line="360" w:lineRule="auto"/>
        <w:ind w:left="284"/>
        <w:rPr>
          <w:i/>
          <w:szCs w:val="24"/>
          <w:lang w:val="pl-PL"/>
        </w:rPr>
      </w:pPr>
    </w:p>
    <w:p w:rsidR="000F0395" w:rsidRPr="00A24AB0" w:rsidRDefault="000F0395" w:rsidP="000F0395">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 xml:space="preserve">es gwarancji i rękojmi…………………..mies. </w:t>
      </w:r>
    </w:p>
    <w:p w:rsidR="000F0395" w:rsidRPr="00FF7291" w:rsidRDefault="000F0395" w:rsidP="000F0395">
      <w:pPr>
        <w:widowControl w:val="0"/>
        <w:tabs>
          <w:tab w:val="left" w:pos="360"/>
        </w:tabs>
        <w:autoSpaceDE w:val="0"/>
        <w:autoSpaceDN w:val="0"/>
        <w:adjustRightInd w:val="0"/>
        <w:ind w:left="284" w:hanging="284"/>
        <w:jc w:val="both"/>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Default="000F0395" w:rsidP="000F0395">
      <w:pPr>
        <w:widowControl w:val="0"/>
        <w:spacing w:after="200" w:line="276" w:lineRule="auto"/>
        <w:jc w:val="both"/>
        <w:rPr>
          <w:rFonts w:ascii="Arial" w:hAnsi="Arial" w:cs="Arial"/>
          <w:b/>
          <w:bCs/>
          <w:spacing w:val="-1"/>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A24AB0">
        <w:rPr>
          <w:rFonts w:ascii="Arial" w:hAnsi="Arial" w:cs="Arial"/>
          <w:b/>
          <w:bCs/>
          <w:sz w:val="22"/>
        </w:rPr>
        <w:t>22</w:t>
      </w:r>
      <w:r w:rsidR="000F0395" w:rsidRPr="000F0395">
        <w:rPr>
          <w:rFonts w:ascii="Arial" w:hAnsi="Arial" w:cs="Arial"/>
          <w:b/>
          <w:bCs/>
          <w:sz w:val="22"/>
        </w:rPr>
        <w:t>.04.2021</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0F0395" w:rsidRDefault="000F0395" w:rsidP="000F0395">
      <w:pPr>
        <w:widowControl w:val="0"/>
        <w:tabs>
          <w:tab w:val="left" w:pos="360"/>
        </w:tabs>
        <w:autoSpaceDE w:val="0"/>
        <w:autoSpaceDN w:val="0"/>
        <w:adjustRightInd w:val="0"/>
        <w:spacing w:line="360" w:lineRule="auto"/>
        <w:ind w:left="284" w:hanging="284"/>
        <w:jc w:val="both"/>
        <w:rPr>
          <w:b/>
        </w:rPr>
      </w:pPr>
      <w:r>
        <w:rPr>
          <w:b/>
        </w:rPr>
        <w:t xml:space="preserve">       </w:t>
      </w:r>
      <w:r>
        <w:rPr>
          <w:b/>
          <w:bdr w:val="single" w:sz="4" w:space="0" w:color="auto" w:frame="1"/>
        </w:rPr>
        <w:t xml:space="preserve">   </w:t>
      </w:r>
      <w:r>
        <w:rPr>
          <w:b/>
        </w:rPr>
        <w:t xml:space="preserve">  - jesteśmy małym lub średnim przedsiębiorstwem*,</w:t>
      </w:r>
    </w:p>
    <w:p w:rsidR="000F0395" w:rsidRDefault="000F0395" w:rsidP="000F0395">
      <w:pPr>
        <w:widowControl w:val="0"/>
        <w:tabs>
          <w:tab w:val="left" w:pos="360"/>
        </w:tabs>
        <w:autoSpaceDE w:val="0"/>
        <w:autoSpaceDN w:val="0"/>
        <w:adjustRightInd w:val="0"/>
        <w:spacing w:line="360" w:lineRule="auto"/>
        <w:ind w:left="284" w:hanging="284"/>
        <w:jc w:val="both"/>
        <w:rPr>
          <w:b/>
        </w:rPr>
      </w:pPr>
      <w:r>
        <w:rPr>
          <w:b/>
        </w:rPr>
        <w:t xml:space="preserve">       </w:t>
      </w:r>
      <w:r>
        <w:rPr>
          <w:b/>
          <w:bdr w:val="single" w:sz="4" w:space="0" w:color="auto" w:frame="1"/>
        </w:rPr>
        <w:t xml:space="preserve">   </w:t>
      </w:r>
      <w:r>
        <w:rPr>
          <w:b/>
        </w:rPr>
        <w:t xml:space="preserve">  - nie jesteśmy małym lub średnim przedsiębiorstwem*,</w:t>
      </w:r>
    </w:p>
    <w:p w:rsidR="000F0395" w:rsidRDefault="000F0395" w:rsidP="000F0395">
      <w:pPr>
        <w:widowControl w:val="0"/>
        <w:tabs>
          <w:tab w:val="left" w:pos="360"/>
        </w:tabs>
        <w:autoSpaceDE w:val="0"/>
        <w:autoSpaceDN w:val="0"/>
        <w:adjustRightInd w:val="0"/>
        <w:ind w:left="284" w:hanging="284"/>
        <w:jc w:val="both"/>
      </w:pPr>
      <w:r>
        <w:lastRenderedPageBreak/>
        <w:t xml:space="preserve">    (postawić znak „X” przy właściwym wyborze)</w:t>
      </w:r>
    </w:p>
    <w:p w:rsidR="000F0395" w:rsidRDefault="000F0395" w:rsidP="000F0395">
      <w:pPr>
        <w:widowControl w:val="0"/>
        <w:tabs>
          <w:tab w:val="left" w:pos="360"/>
        </w:tabs>
        <w:autoSpaceDE w:val="0"/>
        <w:autoSpaceDN w:val="0"/>
        <w:adjustRightInd w:val="0"/>
        <w:ind w:left="284" w:hanging="284"/>
        <w:jc w:val="both"/>
      </w:pP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 Zgodnie z zaleceniem Komisji z dnia 6 maja 2003 r. dotyczącym definicji mikroprzedsiębiorstw oraz małych i średnich   </w:t>
      </w: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0F0395" w:rsidRPr="00FB590A"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bilansowa nie przekracza 10 milionów EUR;</w:t>
      </w:r>
    </w:p>
    <w:p w:rsidR="000F0395" w:rsidRPr="00FF4E50"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obrót nie przekracza 50 milionów EUR </w:t>
      </w:r>
      <w:r w:rsidRPr="00FB590A">
        <w:rPr>
          <w:i/>
          <w:iCs/>
          <w:sz w:val="20"/>
          <w:szCs w:val="20"/>
        </w:rPr>
        <w:t xml:space="preserve">lub </w:t>
      </w:r>
      <w:r w:rsidRPr="00FB590A">
        <w:rPr>
          <w:i/>
          <w:sz w:val="20"/>
          <w:szCs w:val="20"/>
        </w:rPr>
        <w:t>roczna suma bilansowa nie przekracza 43 milionów EUR.</w:t>
      </w: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xml:space="preserve">. Oświadczam, że wypełniłem obowiązki informacyjne przewidziane w art. 13 lub art. 14 RODO wobec osób fizycznych, od których dane osobowe bezpośrednio lub pośrednio pozyskałem w celu </w:t>
      </w:r>
      <w:r w:rsidRPr="00CA2CCF">
        <w:lastRenderedPageBreak/>
        <w:t>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Pr="00132A3A"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A81BB6" w:rsidRDefault="007F1D1F" w:rsidP="007F1D1F">
      <w:pPr>
        <w:spacing w:after="160" w:line="259" w:lineRule="auto"/>
        <w:jc w:val="center"/>
        <w:rPr>
          <w:rFonts w:eastAsia="Calibri"/>
          <w:b/>
          <w:sz w:val="32"/>
          <w:szCs w:val="22"/>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F70A81" w:rsidRPr="00F70A81">
        <w:rPr>
          <w:rFonts w:eastAsia="Calibri"/>
          <w:b/>
          <w:sz w:val="28"/>
          <w:szCs w:val="28"/>
          <w:u w:val="single"/>
          <w:lang w:eastAsia="en-US"/>
        </w:rPr>
        <w:t>Budowa basenu przy PSP w Ciepielowie</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109 ust. 1 pkt  </w:t>
      </w:r>
      <w:r>
        <w:rPr>
          <w:rFonts w:ascii="Arial" w:hAnsi="Arial" w:cs="Arial"/>
          <w:sz w:val="22"/>
          <w:szCs w:val="22"/>
          <w:lang w:eastAsia="ar-SA"/>
        </w:rPr>
        <w:t>1, 4 - 10</w:t>
      </w:r>
      <w:r w:rsidRPr="00D11C41">
        <w:rPr>
          <w:rFonts w:ascii="Arial" w:hAnsi="Arial" w:cs="Arial"/>
          <w:sz w:val="22"/>
          <w:szCs w:val="22"/>
          <w:lang w:eastAsia="ar-SA"/>
        </w:rPr>
        <w:t xml:space="preserve"> 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3805A9"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3805A9"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lastRenderedPageBreak/>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0F0395" w:rsidRPr="00AF2388" w:rsidRDefault="000F0395" w:rsidP="000F0395">
      <w:pPr>
        <w:pStyle w:val="Normalny1"/>
        <w:spacing w:line="340" w:lineRule="atLeast"/>
        <w:ind w:left="426" w:hanging="426"/>
        <w:jc w:val="both"/>
        <w:rPr>
          <w:i/>
          <w:iCs/>
          <w:sz w:val="16"/>
        </w:rPr>
      </w:pPr>
    </w:p>
    <w:p w:rsidR="000F0395" w:rsidRDefault="000F0395"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lastRenderedPageBreak/>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0F0395">
      <w:pPr>
        <w:jc w:val="right"/>
        <w:rPr>
          <w:rFonts w:ascii="Cambria" w:hAnsi="Cambria" w:cs="Calibri"/>
          <w:b/>
          <w:bCs/>
        </w:rPr>
      </w:pPr>
    </w:p>
    <w:p w:rsidR="00AF2388" w:rsidRDefault="00AF2388" w:rsidP="000F0395">
      <w:pPr>
        <w:jc w:val="right"/>
        <w:rPr>
          <w:rFonts w:ascii="Cambria" w:hAnsi="Cambria" w:cs="Calibri"/>
          <w:b/>
          <w:bCs/>
        </w:rPr>
      </w:pPr>
    </w:p>
    <w:p w:rsidR="008F2977" w:rsidRDefault="008F2977" w:rsidP="000F0395">
      <w:pPr>
        <w:jc w:val="right"/>
        <w:rPr>
          <w:rFonts w:ascii="Cambria" w:hAnsi="Cambria" w:cs="Calibri"/>
          <w:b/>
          <w:bCs/>
        </w:rPr>
      </w:pPr>
    </w:p>
    <w:p w:rsidR="00AF2388" w:rsidRDefault="00AF2388" w:rsidP="000F0395">
      <w:pPr>
        <w:jc w:val="right"/>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70A81" w:rsidRPr="00F70A81">
        <w:rPr>
          <w:rFonts w:eastAsiaTheme="minorHAnsi"/>
          <w:b/>
          <w:sz w:val="28"/>
          <w:szCs w:val="28"/>
          <w:u w:val="single"/>
          <w:lang w:eastAsia="en-US"/>
        </w:rPr>
        <w:t>Budowa basenu przy PSP w Ciepielowie</w:t>
      </w:r>
      <w:r w:rsidRPr="00F70A81">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b/>
        </w:rPr>
      </w:pPr>
    </w:p>
    <w:p w:rsidR="000F0395" w:rsidRDefault="000F0395" w:rsidP="000F0395">
      <w:pPr>
        <w:jc w:val="right"/>
        <w:rPr>
          <w:b/>
        </w:rPr>
      </w:pPr>
    </w:p>
    <w:p w:rsidR="000F0395" w:rsidRDefault="000F0395" w:rsidP="000F0395">
      <w:pPr>
        <w:jc w:val="right"/>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F70A81" w:rsidRDefault="00AF2388" w:rsidP="00AF2388">
      <w:pPr>
        <w:spacing w:after="160" w:line="259" w:lineRule="auto"/>
        <w:jc w:val="center"/>
        <w:rPr>
          <w:rFonts w:ascii="Arial" w:eastAsiaTheme="minorHAnsi" w:hAnsi="Arial" w:cs="Arial"/>
          <w:b/>
          <w:sz w:val="28"/>
          <w:szCs w:val="28"/>
          <w:u w:val="single"/>
          <w:lang w:eastAsia="en-US"/>
        </w:rPr>
      </w:pPr>
      <w:r w:rsidRPr="00F70A81">
        <w:rPr>
          <w:rFonts w:ascii="Arial" w:eastAsiaTheme="minorHAnsi" w:hAnsi="Arial" w:cs="Arial"/>
          <w:b/>
          <w:sz w:val="28"/>
          <w:szCs w:val="28"/>
          <w:u w:val="single"/>
          <w:lang w:eastAsia="en-US"/>
        </w:rPr>
        <w:t>„</w:t>
      </w:r>
      <w:r w:rsidR="00F70A81" w:rsidRPr="00F70A81">
        <w:rPr>
          <w:rFonts w:ascii="Arial" w:eastAsiaTheme="minorHAnsi" w:hAnsi="Arial" w:cs="Arial"/>
          <w:b/>
          <w:sz w:val="28"/>
          <w:szCs w:val="28"/>
          <w:u w:val="single"/>
          <w:lang w:eastAsia="en-US"/>
        </w:rPr>
        <w:t>Budowa basenu przy PSP w Ciepielowie</w:t>
      </w:r>
      <w:r w:rsidRPr="00F70A81">
        <w:rPr>
          <w:rFonts w:ascii="Arial" w:eastAsiaTheme="minorHAnsi" w:hAnsi="Arial" w:cs="Arial"/>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publicznych (Dz. U. z 2019 r. poz. 12019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A3195E">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„Budowa basenu przy PSP w Ciepielowie”.</w:t>
      </w:r>
    </w:p>
    <w:p w:rsidR="008C65CC" w:rsidRDefault="008C65CC" w:rsidP="00A3195E">
      <w:pPr>
        <w:keepNext/>
        <w:numPr>
          <w:ilvl w:val="0"/>
          <w:numId w:val="19"/>
        </w:numPr>
        <w:tabs>
          <w:tab w:val="clear" w:pos="0"/>
        </w:tabs>
        <w:ind w:left="0" w:firstLine="0"/>
        <w:contextualSpacing/>
        <w:jc w:val="both"/>
        <w:outlineLvl w:val="1"/>
      </w:pPr>
      <w:r w:rsidRPr="008C65CC">
        <w:t>2.</w:t>
      </w:r>
      <w:r>
        <w:t xml:space="preserve"> </w:t>
      </w:r>
      <w:r w:rsidRPr="008C65CC">
        <w:rPr>
          <w:lang w:eastAsia="ar-SA"/>
        </w:rPr>
        <w:t>Przedmiotem zamówienia jest budowa budynku basenu przy Publicznej Szkole Podstawowej w Ciepielowie zgodnie z dokumentacją projektową będąca integralną częścią specyfikacji warunków zamówienia. 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 xml:space="preserve">3. W ramach zamówienia Wykonawca zobowiązany będzie do wykonania prac towarzyszących, oraz robót tymczasowych koniecznych do uwzględnienia: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xml:space="preserve">- uporządkowanie terenu po budowie oraz wszelkie inne prace nie objęte w SWZ </w:t>
      </w:r>
      <w:r w:rsidRPr="008C65CC">
        <w:rPr>
          <w:rFonts w:eastAsia="SimSun"/>
          <w:lang w:eastAsia="zh-CN"/>
        </w:rPr>
        <w:br/>
        <w:t>a konieczne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Pr="008C65CC" w:rsidRDefault="008C65CC" w:rsidP="008C65CC">
      <w:pPr>
        <w:pStyle w:val="Tekstpodstawowy"/>
        <w:jc w:val="both"/>
        <w:rPr>
          <w:sz w:val="24"/>
          <w:szCs w:val="24"/>
          <w:lang w:val="pl-PL"/>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zapewnienie nadzoru inwestorskiego przez cały czas realizacji przedmiotu umowy określonego w § 1 umowy przez osoby posiadające odpowiednie uprawnienia. Trony umowy ulatają,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zabezpieczenie i oznakowanie terenu budowy wraz ze znajdującymi się na nim obiektami i urządzeniami (w szczególności opracowanie czasowej organizacji ruchu w przypadku robót drogowych, zainstalowanie wszelkich niezbędnych tymczasowych urządzeń </w:t>
      </w:r>
      <w:r w:rsidRPr="008C65CC">
        <w:rPr>
          <w:rFonts w:ascii="Times New Roman" w:hAnsi="Times New Roman" w:cs="Times New Roman"/>
        </w:rPr>
        <w:lastRenderedPageBreak/>
        <w:t>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8C65CC" w:rsidRPr="008C65CC" w:rsidRDefault="008C65CC" w:rsidP="00A3195E">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8C65CC" w:rsidRPr="008C65CC" w:rsidRDefault="008C65CC" w:rsidP="008C65CC">
      <w:pPr>
        <w:pStyle w:val="Default"/>
        <w:ind w:left="360"/>
        <w:jc w:val="both"/>
        <w:rPr>
          <w:rFonts w:ascii="Times New Roman" w:hAnsi="Times New Roman" w:cs="Times New Roman"/>
        </w:rPr>
      </w:pPr>
    </w:p>
    <w:p w:rsidR="00C96937" w:rsidRDefault="00C96937" w:rsidP="008C65CC">
      <w:pPr>
        <w:spacing w:line="276" w:lineRule="auto"/>
        <w:jc w:val="center"/>
        <w:rPr>
          <w:b/>
        </w:rPr>
      </w:pPr>
    </w:p>
    <w:p w:rsidR="008C65CC" w:rsidRPr="008C65CC" w:rsidRDefault="008C65CC" w:rsidP="008C65CC">
      <w:pPr>
        <w:spacing w:line="276" w:lineRule="auto"/>
        <w:jc w:val="center"/>
        <w:rPr>
          <w:b/>
        </w:rPr>
      </w:pPr>
      <w:r w:rsidRPr="008C65CC">
        <w:rPr>
          <w:b/>
        </w:rPr>
        <w:lastRenderedPageBreak/>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Pr="008C65CC">
        <w:rPr>
          <w:b/>
        </w:rPr>
        <w:t>w 19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Pzp oraz do dalszych podwykonawców, chyba, że w toku postępowania weryfikowane były podstawy wykluczenia </w:t>
      </w:r>
      <w:r w:rsidRPr="008C65CC">
        <w:rPr>
          <w:rFonts w:ascii="Times New Roman" w:eastAsia="Calibri" w:hAnsi="Times New Roman"/>
          <w:sz w:val="24"/>
          <w:szCs w:val="24"/>
        </w:rPr>
        <w:lastRenderedPageBreak/>
        <w:t>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wszystkie dokumenty wymagane zgodnie z </w:t>
      </w:r>
      <w:r w:rsidRPr="008C65CC">
        <w:rPr>
          <w:rFonts w:ascii="Times New Roman" w:hAnsi="Times New Roman" w:cs="Times New Roman"/>
          <w:sz w:val="24"/>
          <w:szCs w:val="24"/>
        </w:rPr>
        <w:lastRenderedPageBreak/>
        <w:t>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P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 w kwocie …………. zł co stanowi kwotę …………..</w:t>
      </w:r>
      <w:r w:rsidRPr="008C65CC">
        <w:rPr>
          <w:rFonts w:ascii="Times New Roman" w:hAnsi="Times New Roman"/>
          <w:b/>
          <w:sz w:val="24"/>
          <w:szCs w:val="24"/>
        </w:rPr>
        <w:t xml:space="preserve"> zł brutto (słownie:…………………………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lastRenderedPageBreak/>
        <w:t>Zapłata wynagrodzenia należnego Wykonawcy dokonywana będzie na rachunek bankowy Wykonawcy.</w:t>
      </w:r>
    </w:p>
    <w:p w:rsidR="008C65CC" w:rsidRPr="008C65CC" w:rsidRDefault="008C65CC" w:rsidP="00A3195E">
      <w:pPr>
        <w:numPr>
          <w:ilvl w:val="0"/>
          <w:numId w:val="25"/>
        </w:numPr>
        <w:autoSpaceDE w:val="0"/>
        <w:autoSpaceDN w:val="0"/>
        <w:adjustRightInd w:val="0"/>
        <w:jc w:val="both"/>
        <w:rPr>
          <w:rFonts w:eastAsia="Calibri"/>
          <w:color w:val="000000"/>
        </w:rPr>
      </w:pPr>
      <w:r w:rsidRPr="008C65CC">
        <w:t>Rozliczenie robót odbywać się będzie na podstawie faktur częściowych wystawianych nie częściej niż raz w miesiącu.</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rFonts w:eastAsia="Calibri"/>
          <w:color w:val="000000"/>
        </w:rPr>
        <w:t xml:space="preserve">Zapłata wynagrodzenia Wykonawcy następować będzie przelewem w ciągu 30 dni na podstawie faktur wystawionych przez Wykonawcę i zatwierdzonych przez Inspektora nadzoru protokołów częściowego odbioru wykonanych robót, oraz 30 dni od złożenia protokołu końcowego odbioru robót i faktury końcowej </w:t>
      </w:r>
      <w:r w:rsidRPr="008C65CC">
        <w:t>albo na podstawie rozliczenia sporządzonego po odstąpieniu od umowy</w:t>
      </w:r>
      <w:r w:rsidRPr="008C65CC">
        <w:rPr>
          <w:rFonts w:eastAsia="Calibri"/>
          <w:color w:val="000000"/>
        </w:rPr>
        <w:t>.</w:t>
      </w:r>
    </w:p>
    <w:p w:rsidR="008C65CC" w:rsidRPr="008C65CC" w:rsidRDefault="008C65CC" w:rsidP="008C65CC">
      <w:pPr>
        <w:pStyle w:val="Bezodstpw"/>
        <w:ind w:left="360"/>
        <w:jc w:val="both"/>
        <w:rPr>
          <w:rFonts w:ascii="Times New Roman" w:hAnsi="Times New Roman"/>
          <w:sz w:val="24"/>
          <w:szCs w:val="24"/>
        </w:rPr>
      </w:pPr>
      <w:r w:rsidRPr="008C65CC">
        <w:rPr>
          <w:rFonts w:ascii="Times New Roman" w:hAnsi="Times New Roman"/>
          <w:sz w:val="24"/>
          <w:szCs w:val="24"/>
        </w:rPr>
        <w:t>Suma faktur częściowych nie może przekroczyć 80% wartości przedmiotu umowy.</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b/>
        </w:rPr>
        <w:t>Zamawiający zastrzega sobie prawo finansowania przedmiotu zamówienia w granicach środków przeznaczonych w budżecie Gminy</w:t>
      </w:r>
      <w:r w:rsidR="002B1ED6">
        <w:rPr>
          <w:b/>
        </w:rPr>
        <w:t xml:space="preserve"> Ciepielów</w:t>
      </w:r>
      <w:r w:rsidRPr="008C65CC">
        <w:rPr>
          <w:b/>
        </w:rPr>
        <w:t xml:space="preserve"> w roku 2021 w kwocie do 1500000 zł, natomiast pozostała kwota zostanie wypłacona w 2022 roku.</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Pr="008C65CC">
        <w:rPr>
          <w:rFonts w:eastAsia="Calibri"/>
        </w:rPr>
        <w:t>pkt 10,</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 przypadku zgłoszenia uwag, o których mowa w pkt 11,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Pr="002B1ED6"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Pr="002B1ED6"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A3195E">
      <w:pPr>
        <w:numPr>
          <w:ilvl w:val="0"/>
          <w:numId w:val="26"/>
        </w:numPr>
        <w:autoSpaceDE w:val="0"/>
        <w:autoSpaceDN w:val="0"/>
        <w:adjustRightInd w:val="0"/>
        <w:spacing w:after="85"/>
        <w:ind w:left="993" w:hanging="426"/>
        <w:jc w:val="both"/>
        <w:rPr>
          <w:rFonts w:eastAsia="Calibri"/>
          <w:color w:val="000000"/>
        </w:rPr>
      </w:pPr>
      <w:r w:rsidRPr="008C65CC">
        <w:rPr>
          <w:rFonts w:eastAsia="Calibri"/>
          <w:color w:val="000000"/>
        </w:rPr>
        <w:t>a) wystąpienia konieczności wykonania dodatkowych prac, udzielonych na podstawie art. 455 ustawy Pzp lub robót zamiennych, których realizacja będzie miała wpływ na termin wykonania robót pierwotnie objętych niniejszą Umową,</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Każdorazowo na taką zmianę z inicjatywy Wykonawcy musi wyrazić zgodę Projektant, który wykonał Dokumentację oraz Zamawiający. Koszt wprowadzenia zmian obciąża Wykonawcę;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części dotyczącej zmiany wynagrodzenia umownego w przypadku: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 xml:space="preserve">3.1) konieczności wykonania robót lub prac, na skutek sytuacji określonej w pkt 2, jeżeli zmiana ta będzie miała wpływ na koszty wykonania zamówienia przez Wykonawcę,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3.2 ) na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a) ustala się wysokość poziomu zmiany ceny materiałów lub kosztów, uprawniający strony umowy do żądania zmiany wynagrodzenia w wysokości nie mniejszej niż 80 %;</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początkowy termin ustalenia zmiany wynagrodzenia ustala się nie wcześniej niż na 12 miesięcy od dnia podpisania umowy;</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c)</w:t>
      </w:r>
      <w:r w:rsidRPr="008C65CC">
        <w:rPr>
          <w:rFonts w:ascii="Times New Roman" w:eastAsia="Calibri" w:hAnsi="Times New Roman"/>
          <w:sz w:val="24"/>
          <w:szCs w:val="24"/>
        </w:rPr>
        <w:tab/>
        <w:t>wskaźnik zmiany ceny materiałów lub kosztów stanowią bazy cenotwórcze wskazane w dostępnych publikacjach na rynku np. Sekocenbud, Orgbud, Wacetob aktualne na dzień składania wniosku o zmianę wynagrodzenia;</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Sekocenbud, Orgbud, Wacetob aktualnych na dzień składania wniosku o zmianę wynagrodzenia;</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8C65CC">
      <w:pPr>
        <w:pStyle w:val="Bezodstpw"/>
        <w:ind w:left="851"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p>
    <w:p w:rsidR="008C65CC" w:rsidRPr="008C65CC" w:rsidRDefault="008C65CC" w:rsidP="008C65CC">
      <w:pPr>
        <w:pStyle w:val="Bezodstpw"/>
        <w:ind w:left="798" w:hanging="514"/>
        <w:jc w:val="both"/>
        <w:rPr>
          <w:rFonts w:ascii="Times New Roman" w:eastAsia="Calibri" w:hAnsi="Times New Roman"/>
          <w:sz w:val="24"/>
          <w:szCs w:val="24"/>
        </w:rPr>
      </w:pPr>
      <w:r w:rsidRPr="008C65CC">
        <w:rPr>
          <w:rFonts w:ascii="Times New Roman" w:eastAsia="Calibri" w:hAnsi="Times New Roman"/>
          <w:sz w:val="24"/>
          <w:szCs w:val="24"/>
        </w:rPr>
        <w:t xml:space="preserve">3.3) 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rsidR="008C65CC" w:rsidRPr="008C65CC" w:rsidRDefault="008C65CC" w:rsidP="008C65CC">
      <w:pPr>
        <w:pStyle w:val="Bezodstpw"/>
        <w:ind w:left="798" w:hanging="514"/>
        <w:jc w:val="both"/>
        <w:rPr>
          <w:rFonts w:ascii="Times New Roman" w:eastAsia="Calibri" w:hAnsi="Times New Roman"/>
          <w:sz w:val="24"/>
          <w:szCs w:val="24"/>
        </w:rPr>
      </w:pPr>
      <w:r w:rsidRPr="008C65CC">
        <w:rPr>
          <w:rFonts w:ascii="Times New Roman" w:eastAsia="Calibri" w:hAnsi="Times New Roman"/>
          <w:sz w:val="24"/>
          <w:szCs w:val="24"/>
        </w:rPr>
        <w:t>3.4) w przypadku wyłączenia części robót objętych umową na wniosek Zamawiającego.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w przypadku zmiany w trakcie realizacji przedmiotu Umowy kierownika budowy lub kierowników robót w przypadkach i na warunkach określonych w § 15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5) w przypadku podjęcia decyzji o wykonaniu części zamówienia przez podwykonawcę, zmianie zakresu podwykonawstwa lub podwykonawcy, rezygnacji z zakresu podwykonawstwa lub podwykonawcy.</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Wykonawca jest obowiązany do poinformowania Zamawiającego o zmianach w tym zakresie</w:t>
      </w:r>
      <w:r w:rsidRPr="008C65CC">
        <w:rPr>
          <w:rFonts w:ascii="Times New Roman" w:eastAsia="Calibri" w:hAnsi="Times New Roman"/>
          <w:b/>
          <w:bCs/>
          <w:sz w:val="24"/>
          <w:szCs w:val="24"/>
        </w:rPr>
        <w:t xml:space="preserve">;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6) w przypadku zmiany albo wejścia w życie nowych przepisów lub norm, jeżeli zgodnie z nimi konieczne będzie dostosowanie treści Umowy do aktualnego stanu prawnego;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7)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Zmiany, o których mowa w ust. 2 pkt 2, 4 lub 5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8C65CC" w:rsidRPr="008C65CC" w:rsidRDefault="008C65CC" w:rsidP="00A3195E">
      <w:pPr>
        <w:numPr>
          <w:ilvl w:val="1"/>
          <w:numId w:val="20"/>
        </w:numPr>
        <w:ind w:left="284" w:hanging="284"/>
        <w:jc w:val="both"/>
      </w:pPr>
      <w:r w:rsidRPr="008C65CC">
        <w:t>Wykonawca nie może bez zgody Zamawiającego dokonać cesji wierzytelności, przysługującej mu  z tytułu realizacji Umowy na osoby trzecie.</w:t>
      </w:r>
    </w:p>
    <w:p w:rsidR="008C65CC" w:rsidRPr="008C65CC" w:rsidRDefault="008C65CC" w:rsidP="00A3195E">
      <w:pPr>
        <w:numPr>
          <w:ilvl w:val="1"/>
          <w:numId w:val="20"/>
        </w:numPr>
        <w:ind w:left="284" w:hanging="284"/>
        <w:jc w:val="both"/>
      </w:pPr>
      <w:r w:rsidRPr="008C65CC">
        <w:t>W sprawach nieuregulowanych niniejszą umową mają zastosowanie przepisy Kodeksu cywilnego, ustawy Prawo zamówień publicznych, Prawa budowlanego oraz inne obowiązujące przepisy prawa.</w:t>
      </w:r>
    </w:p>
    <w:p w:rsidR="008C65CC" w:rsidRPr="008C65CC" w:rsidRDefault="008C65CC" w:rsidP="00A3195E">
      <w:pPr>
        <w:numPr>
          <w:ilvl w:val="1"/>
          <w:numId w:val="20"/>
        </w:numPr>
        <w:ind w:left="284" w:hanging="284"/>
        <w:jc w:val="both"/>
      </w:pPr>
      <w:r w:rsidRPr="008C65CC">
        <w:t>Ewentualne spory mogące wyniknąć z realizacji niniejszej umowy, strony postanawiają rozstrzygać ugodowo poprzez negocjacje. Wszelkie spory będą rozstrzygane przez sąd powszechny właściwy dla siedziby Zamawiającego.</w:t>
      </w:r>
    </w:p>
    <w:p w:rsidR="008C65CC" w:rsidRPr="008C65CC" w:rsidRDefault="008C65CC" w:rsidP="00A3195E">
      <w:pPr>
        <w:numPr>
          <w:ilvl w:val="1"/>
          <w:numId w:val="20"/>
        </w:numPr>
        <w:ind w:left="284" w:hanging="284"/>
        <w:jc w:val="both"/>
      </w:pPr>
      <w:r w:rsidRPr="008C65CC">
        <w:t>Umowę niniejszą sporządzono w trzech jednobrzmiących egzemplarzach, jeden egzemplarz dla Wykonawcy</w:t>
      </w:r>
      <w:r w:rsidRPr="008C65CC">
        <w:rPr>
          <w:b/>
          <w:bCs/>
        </w:rPr>
        <w:t xml:space="preserve">, </w:t>
      </w:r>
      <w:r w:rsidRPr="008C65CC">
        <w:t>dwa egzemplarze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D159E2" w:rsidRDefault="00D159E2" w:rsidP="000F0395">
      <w:pPr>
        <w:rPr>
          <w:b/>
          <w:sz w:val="22"/>
        </w:rPr>
      </w:pPr>
    </w:p>
    <w:p w:rsidR="00AF2388" w:rsidRDefault="00AF2388" w:rsidP="000F0395">
      <w:pPr>
        <w:rPr>
          <w:b/>
          <w:sz w:val="22"/>
        </w:rPr>
      </w:pPr>
    </w:p>
    <w:p w:rsidR="00AF2388" w:rsidRDefault="00AF2388" w:rsidP="000F0395">
      <w:pPr>
        <w:rPr>
          <w:b/>
          <w:sz w:val="22"/>
        </w:rPr>
      </w:pPr>
    </w:p>
    <w:p w:rsidR="00AF2388" w:rsidRDefault="00AF2388" w:rsidP="000F0395">
      <w:pPr>
        <w:rPr>
          <w:b/>
          <w:sz w:val="22"/>
        </w:rPr>
      </w:pPr>
    </w:p>
    <w:p w:rsidR="004B4BCC" w:rsidRDefault="004B4BCC" w:rsidP="000F0395">
      <w:pPr>
        <w:rPr>
          <w:b/>
          <w:sz w:val="22"/>
        </w:rPr>
      </w:pPr>
    </w:p>
    <w:p w:rsidR="004B4BCC" w:rsidRDefault="004B4BCC" w:rsidP="000F0395">
      <w:pPr>
        <w:rPr>
          <w:b/>
          <w:sz w:val="22"/>
        </w:rPr>
      </w:pPr>
    </w:p>
    <w:p w:rsidR="004B4BCC" w:rsidRDefault="004B4BCC" w:rsidP="000F0395">
      <w:pPr>
        <w:rPr>
          <w:b/>
          <w:sz w:val="22"/>
        </w:rPr>
      </w:pPr>
    </w:p>
    <w:p w:rsidR="000F0395" w:rsidRDefault="000F0395" w:rsidP="001912CA">
      <w:pPr>
        <w:rPr>
          <w:b/>
          <w:sz w:val="22"/>
        </w:rPr>
      </w:pPr>
    </w:p>
    <w:p w:rsidR="000F0395" w:rsidRDefault="000F0395" w:rsidP="000F0395">
      <w:pPr>
        <w:jc w:val="right"/>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AF2388" w:rsidRDefault="00AF2388" w:rsidP="00AF2388">
      <w:pPr>
        <w:spacing w:after="160" w:line="259" w:lineRule="auto"/>
        <w:jc w:val="center"/>
        <w:rPr>
          <w:rFonts w:eastAsiaTheme="minorHAnsi"/>
          <w:b/>
          <w:sz w:val="32"/>
          <w:szCs w:val="22"/>
          <w:u w:val="single"/>
          <w:lang w:eastAsia="en-US"/>
        </w:rPr>
      </w:pPr>
      <w:r w:rsidRPr="00AF2388">
        <w:rPr>
          <w:rFonts w:eastAsiaTheme="minorHAnsi"/>
          <w:b/>
          <w:sz w:val="32"/>
          <w:szCs w:val="22"/>
          <w:u w:val="single"/>
          <w:lang w:eastAsia="en-US"/>
        </w:rPr>
        <w:t>„</w:t>
      </w:r>
      <w:r w:rsidR="00D159E2" w:rsidRPr="00D159E2">
        <w:rPr>
          <w:rFonts w:eastAsiaTheme="minorHAnsi"/>
          <w:b/>
          <w:sz w:val="32"/>
          <w:szCs w:val="22"/>
          <w:u w:val="single"/>
          <w:lang w:eastAsia="en-US"/>
        </w:rPr>
        <w:t>Budowa basenu przy PSP w Ciepielowie</w:t>
      </w:r>
      <w:r w:rsidRPr="00AF2388">
        <w:rPr>
          <w:rFonts w:eastAsiaTheme="minorHAnsi"/>
          <w:b/>
          <w:sz w:val="32"/>
          <w:szCs w:val="22"/>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lastRenderedPageBreak/>
        <w:t>Załącznik nr 10 do SWZ</w:t>
      </w: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„Budowa basenu przy PSP w Ciepielowie”</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1912CA" w:rsidRDefault="00C00240" w:rsidP="001912CA">
      <w:pPr>
        <w:keepNext/>
        <w:widowControl w:val="0"/>
        <w:autoSpaceDE w:val="0"/>
        <w:autoSpaceDN w:val="0"/>
        <w:adjustRightInd w:val="0"/>
        <w:jc w:val="center"/>
        <w:rPr>
          <w:b/>
          <w:bCs/>
          <w:sz w:val="28"/>
          <w:szCs w:val="32"/>
        </w:rPr>
      </w:pPr>
      <w:r w:rsidRPr="00C00240">
        <w:rPr>
          <w:b/>
          <w:bCs/>
          <w:sz w:val="28"/>
          <w:szCs w:val="32"/>
        </w:rPr>
        <w:t>fffdb333-1572-42fd-b032-55d46f19b931</w:t>
      </w:r>
      <w:bookmarkStart w:id="0" w:name="_GoBack"/>
      <w:bookmarkEnd w:id="0"/>
    </w:p>
    <w:p w:rsidR="008161F8" w:rsidRDefault="008161F8" w:rsidP="001912CA">
      <w:pPr>
        <w:keepNext/>
        <w:widowControl w:val="0"/>
        <w:autoSpaceDE w:val="0"/>
        <w:autoSpaceDN w:val="0"/>
        <w:adjustRightInd w:val="0"/>
        <w:jc w:val="center"/>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1"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1"/>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2"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2"/>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D159E2" w:rsidRPr="00D159E2">
        <w:rPr>
          <w:rFonts w:eastAsiaTheme="minorHAnsi"/>
          <w:b/>
          <w:sz w:val="28"/>
          <w:szCs w:val="28"/>
          <w:u w:val="single"/>
          <w:lang w:eastAsia="en-US"/>
        </w:rPr>
        <w:t>Budowa basenu przy PSP w Ciepielowie</w:t>
      </w:r>
      <w:r w:rsidRPr="00D159E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lastRenderedPageBreak/>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3"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3"/>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D312CD" w:rsidRDefault="000F0395" w:rsidP="000F0395">
      <w:pPr>
        <w:pStyle w:val="Nagwek1"/>
        <w:ind w:left="6480" w:firstLine="720"/>
      </w:pPr>
      <w:r>
        <w:rPr>
          <w:bCs/>
          <w:sz w:val="22"/>
          <w:szCs w:val="22"/>
          <w:u w:val="none"/>
          <w:lang w:val="pl-PL"/>
        </w:rPr>
        <w:br w:type="page"/>
      </w:r>
    </w:p>
    <w:p w:rsidR="000F0395" w:rsidRPr="008D45C6" w:rsidRDefault="000F0395" w:rsidP="000F0395">
      <w:pPr>
        <w:widowControl w:val="0"/>
        <w:autoSpaceDE w:val="0"/>
        <w:autoSpaceDN w:val="0"/>
        <w:adjustRightInd w:val="0"/>
        <w:jc w:val="center"/>
        <w:rPr>
          <w:b/>
          <w:bCs/>
          <w:color w:val="000000"/>
          <w:sz w:val="32"/>
          <w:szCs w:val="32"/>
        </w:rPr>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line="276" w:lineRule="auto"/>
        <w:rPr>
          <w:rFonts w:ascii="Arial" w:hAnsi="Arial" w:cs="Arial"/>
          <w:sz w:val="22"/>
          <w:szCs w:val="22"/>
        </w:rPr>
      </w:pP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D159E2" w:rsidRPr="00D159E2">
        <w:rPr>
          <w:rFonts w:eastAsiaTheme="minorHAnsi"/>
          <w:b/>
          <w:sz w:val="28"/>
          <w:szCs w:val="28"/>
          <w:u w:val="single"/>
          <w:lang w:eastAsia="en-US"/>
        </w:rPr>
        <w:t>Budowa basenu przy PSP w Ciepielowie</w:t>
      </w:r>
      <w:r w:rsidR="006C7B72" w:rsidRPr="00D159E2">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2"/>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Default="000F0395" w:rsidP="000F039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0F0395" w:rsidRPr="008D45C6" w:rsidRDefault="000F0395" w:rsidP="000F0395">
      <w:pPr>
        <w:widowControl w:val="0"/>
        <w:autoSpaceDE w:val="0"/>
        <w:autoSpaceDN w:val="0"/>
        <w:adjustRightInd w:val="0"/>
        <w:jc w:val="center"/>
        <w:rPr>
          <w:b/>
          <w:bCs/>
          <w:color w:val="000000"/>
          <w:sz w:val="32"/>
          <w:szCs w:val="32"/>
        </w:rPr>
      </w:pPr>
    </w:p>
    <w:p w:rsidR="00E13708" w:rsidRDefault="00E13708" w:rsidP="008161F8"/>
    <w:sectPr w:rsidR="00E13708" w:rsidSect="000F0395">
      <w:headerReference w:type="default" r:id="rId12"/>
      <w:footerReference w:type="even" r:id="rId13"/>
      <w:footerReference w:type="default" r:id="rId14"/>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A9" w:rsidRDefault="003805A9" w:rsidP="000F0395">
      <w:r>
        <w:separator/>
      </w:r>
    </w:p>
  </w:endnote>
  <w:endnote w:type="continuationSeparator" w:id="0">
    <w:p w:rsidR="003805A9" w:rsidRDefault="003805A9"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C5FBA" w:rsidRDefault="007C5F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A9" w:rsidRDefault="003805A9" w:rsidP="000F0395">
      <w:r>
        <w:separator/>
      </w:r>
    </w:p>
  </w:footnote>
  <w:footnote w:type="continuationSeparator" w:id="0">
    <w:p w:rsidR="003805A9" w:rsidRDefault="003805A9" w:rsidP="000F0395">
      <w:r>
        <w:continuationSeparator/>
      </w:r>
    </w:p>
  </w:footnote>
  <w:footnote w:id="1">
    <w:p w:rsidR="007C5FBA" w:rsidRDefault="007C5FBA"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5FBA" w:rsidRPr="00FF4E50" w:rsidRDefault="007C5FBA"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7C5FBA" w:rsidRDefault="007C5FBA" w:rsidP="000F0395">
      <w:pPr>
        <w:pStyle w:val="Tekstprzypisudolnego"/>
      </w:pPr>
    </w:p>
  </w:footnote>
  <w:footnote w:id="2">
    <w:p w:rsidR="007C5FBA" w:rsidRDefault="007C5FBA"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7C5FBA" w:rsidRDefault="007C5FBA"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BA" w:rsidRDefault="007C5FBA">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0"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1"/>
  </w:num>
  <w:num w:numId="3">
    <w:abstractNumId w:val="39"/>
  </w:num>
  <w:num w:numId="4">
    <w:abstractNumId w:val="31"/>
  </w:num>
  <w:num w:numId="5">
    <w:abstractNumId w:val="38"/>
  </w:num>
  <w:num w:numId="6">
    <w:abstractNumId w:val="27"/>
  </w:num>
  <w:num w:numId="7">
    <w:abstractNumId w:val="28"/>
  </w:num>
  <w:num w:numId="8">
    <w:abstractNumId w:val="24"/>
  </w:num>
  <w:num w:numId="9">
    <w:abstractNumId w:val="33"/>
  </w:num>
  <w:num w:numId="10">
    <w:abstractNumId w:val="32"/>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0"/>
  </w:num>
  <w:num w:numId="21">
    <w:abstractNumId w:val="36"/>
  </w:num>
  <w:num w:numId="22">
    <w:abstractNumId w:val="17"/>
  </w:num>
  <w:num w:numId="23">
    <w:abstractNumId w:val="34"/>
  </w:num>
  <w:num w:numId="24">
    <w:abstractNumId w:val="19"/>
  </w:num>
  <w:num w:numId="25">
    <w:abstractNumId w:val="29"/>
  </w:num>
  <w:num w:numId="26">
    <w:abstractNumId w:val="25"/>
  </w:num>
  <w:num w:numId="27">
    <w:abstractNumId w:val="23"/>
  </w:num>
  <w:num w:numId="28">
    <w:abstractNumId w:val="22"/>
  </w:num>
  <w:num w:numId="29">
    <w:abstractNumId w:val="3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F0395"/>
    <w:rsid w:val="001912CA"/>
    <w:rsid w:val="001D67FF"/>
    <w:rsid w:val="002B1ED6"/>
    <w:rsid w:val="003805A9"/>
    <w:rsid w:val="00403831"/>
    <w:rsid w:val="004362D0"/>
    <w:rsid w:val="004B4BCC"/>
    <w:rsid w:val="004D32A4"/>
    <w:rsid w:val="005A07D2"/>
    <w:rsid w:val="005F5F78"/>
    <w:rsid w:val="00605426"/>
    <w:rsid w:val="006C7B72"/>
    <w:rsid w:val="007C5FBA"/>
    <w:rsid w:val="007E1D84"/>
    <w:rsid w:val="007F1D1F"/>
    <w:rsid w:val="008161F8"/>
    <w:rsid w:val="008C65CC"/>
    <w:rsid w:val="008F2977"/>
    <w:rsid w:val="009E2B4D"/>
    <w:rsid w:val="00A24AB0"/>
    <w:rsid w:val="00A3195E"/>
    <w:rsid w:val="00AF2388"/>
    <w:rsid w:val="00C00240"/>
    <w:rsid w:val="00C96937"/>
    <w:rsid w:val="00CC0124"/>
    <w:rsid w:val="00D159E2"/>
    <w:rsid w:val="00D43197"/>
    <w:rsid w:val="00D7494C"/>
    <w:rsid w:val="00D95D01"/>
    <w:rsid w:val="00E13708"/>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
    <w:basedOn w:val="Normalny"/>
    <w:link w:val="AkapitzlistZnak"/>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
    <w:link w:val="Akapitzlis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F104F-B62F-4D8F-B36F-31F925EA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34</Pages>
  <Words>12586</Words>
  <Characters>75522</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BorekM</cp:lastModifiedBy>
  <cp:revision>6</cp:revision>
  <cp:lastPrinted>2021-03-08T06:59:00Z</cp:lastPrinted>
  <dcterms:created xsi:type="dcterms:W3CDTF">2021-02-17T14:19:00Z</dcterms:created>
  <dcterms:modified xsi:type="dcterms:W3CDTF">2021-03-08T10:51:00Z</dcterms:modified>
</cp:coreProperties>
</file>